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lang w:eastAsia="zh-CN"/>
        </w:rPr>
      </w:pPr>
      <w:r>
        <w:rPr>
          <w:rFonts w:hint="eastAsia"/>
          <w:b/>
          <w:bCs/>
          <w:lang w:eastAsia="zh-CN"/>
        </w:rPr>
        <w:t>功能需求明细</w:t>
      </w:r>
    </w:p>
    <w:tbl>
      <w:tblPr>
        <w:tblStyle w:val="2"/>
        <w:tblpPr w:leftFromText="180" w:rightFromText="180" w:vertAnchor="text" w:horzAnchor="page" w:tblpXSpec="center" w:tblpY="84"/>
        <w:tblOverlap w:val="never"/>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868"/>
        <w:gridCol w:w="7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8" w:type="dxa"/>
            <w:vAlign w:val="center"/>
          </w:tcPr>
          <w:p>
            <w:pPr>
              <w:jc w:val="center"/>
              <w:rPr>
                <w:rFonts w:hint="default" w:ascii="宋体" w:eastAsia="宋体"/>
                <w:b/>
                <w:bCs/>
                <w:color w:val="auto"/>
                <w:szCs w:val="22"/>
                <w:highlight w:val="none"/>
                <w:lang w:val="en-US" w:eastAsia="zh-CN"/>
              </w:rPr>
            </w:pPr>
            <w:r>
              <w:rPr>
                <w:rFonts w:hint="eastAsia" w:ascii="宋体"/>
                <w:b/>
                <w:bCs/>
                <w:color w:val="auto"/>
                <w:szCs w:val="22"/>
                <w:highlight w:val="none"/>
                <w:lang w:val="en-US" w:eastAsia="zh-CN"/>
              </w:rPr>
              <w:t>序号</w:t>
            </w:r>
          </w:p>
        </w:tc>
        <w:tc>
          <w:tcPr>
            <w:tcW w:w="868" w:type="dxa"/>
            <w:vAlign w:val="center"/>
          </w:tcPr>
          <w:p>
            <w:pPr>
              <w:jc w:val="center"/>
              <w:rPr>
                <w:rFonts w:ascii="宋体"/>
                <w:b/>
                <w:bCs/>
                <w:color w:val="auto"/>
                <w:szCs w:val="22"/>
                <w:highlight w:val="none"/>
              </w:rPr>
            </w:pPr>
            <w:r>
              <w:rPr>
                <w:rFonts w:hint="eastAsia" w:ascii="宋体" w:hAnsi="宋体" w:cs="宋体"/>
                <w:b/>
                <w:bCs/>
                <w:color w:val="auto"/>
                <w:szCs w:val="22"/>
                <w:highlight w:val="none"/>
                <w:lang w:val="en-US" w:eastAsia="zh-CN"/>
              </w:rPr>
              <w:t>项目</w:t>
            </w:r>
          </w:p>
        </w:tc>
        <w:tc>
          <w:tcPr>
            <w:tcW w:w="7433" w:type="dxa"/>
            <w:vAlign w:val="center"/>
          </w:tcPr>
          <w:p>
            <w:pPr>
              <w:jc w:val="center"/>
              <w:rPr>
                <w:rFonts w:ascii="宋体"/>
                <w:b/>
                <w:bCs/>
                <w:color w:val="auto"/>
                <w:szCs w:val="22"/>
                <w:highlight w:val="none"/>
              </w:rPr>
            </w:pPr>
            <w:r>
              <w:rPr>
                <w:rFonts w:hint="eastAsia" w:ascii="宋体" w:hAnsi="宋体" w:cs="宋体"/>
                <w:b/>
                <w:bCs/>
                <w:color w:val="auto"/>
                <w:kern w:val="0"/>
                <w:szCs w:val="22"/>
                <w:highlight w:val="none"/>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18" w:type="dxa"/>
            <w:vMerge w:val="restart"/>
            <w:vAlign w:val="center"/>
          </w:tcPr>
          <w:p>
            <w:pPr>
              <w:jc w:val="center"/>
              <w:rPr>
                <w:rFonts w:hint="eastAsia" w:ascii="宋体" w:eastAsia="宋体"/>
                <w:color w:val="auto"/>
                <w:szCs w:val="22"/>
                <w:highlight w:val="none"/>
                <w:lang w:val="en-US" w:eastAsia="zh-CN"/>
              </w:rPr>
            </w:pPr>
            <w:r>
              <w:rPr>
                <w:rFonts w:hint="eastAsia" w:ascii="宋体"/>
                <w:color w:val="auto"/>
                <w:szCs w:val="22"/>
                <w:highlight w:val="none"/>
                <w:lang w:val="en-US" w:eastAsia="zh-CN"/>
              </w:rPr>
              <w:t>1</w:t>
            </w:r>
          </w:p>
        </w:tc>
        <w:tc>
          <w:tcPr>
            <w:tcW w:w="868" w:type="dxa"/>
            <w:vMerge w:val="restart"/>
            <w:vAlign w:val="center"/>
          </w:tcPr>
          <w:p>
            <w:pPr>
              <w:jc w:val="center"/>
              <w:rPr>
                <w:rFonts w:ascii="宋体"/>
                <w:color w:val="auto"/>
                <w:szCs w:val="22"/>
                <w:highlight w:val="none"/>
              </w:rPr>
            </w:pPr>
            <w:r>
              <w:rPr>
                <w:rFonts w:hint="eastAsia" w:ascii="宋体"/>
                <w:color w:val="auto"/>
                <w:szCs w:val="22"/>
                <w:highlight w:val="none"/>
                <w:lang w:eastAsia="zh-CN"/>
              </w:rPr>
              <w:t>测评范围</w:t>
            </w:r>
          </w:p>
        </w:tc>
        <w:tc>
          <w:tcPr>
            <w:tcW w:w="7433" w:type="dxa"/>
            <w:vAlign w:val="center"/>
          </w:tcPr>
          <w:p>
            <w:pPr>
              <w:rPr>
                <w:rFonts w:hint="eastAsia" w:ascii="宋体" w:eastAsia="宋体"/>
                <w:color w:val="auto"/>
                <w:szCs w:val="22"/>
                <w:highlight w:val="none"/>
                <w:lang w:eastAsia="zh-CN"/>
              </w:rPr>
            </w:pPr>
            <w:r>
              <w:rPr>
                <w:rFonts w:hint="eastAsia" w:ascii="宋体"/>
                <w:color w:val="auto"/>
                <w:szCs w:val="22"/>
                <w:highlight w:val="none"/>
                <w:lang w:eastAsia="zh-CN"/>
              </w:rPr>
              <w:t>各临床专科“在院患者”满意度测评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18" w:type="dxa"/>
            <w:vMerge w:val="continue"/>
            <w:vAlign w:val="center"/>
          </w:tcPr>
          <w:p>
            <w:pPr>
              <w:jc w:val="center"/>
              <w:rPr>
                <w:rFonts w:ascii="宋体"/>
                <w:color w:val="auto"/>
                <w:szCs w:val="22"/>
                <w:highlight w:val="none"/>
              </w:rPr>
            </w:pPr>
          </w:p>
        </w:tc>
        <w:tc>
          <w:tcPr>
            <w:tcW w:w="868" w:type="dxa"/>
            <w:vMerge w:val="continue"/>
            <w:vAlign w:val="center"/>
          </w:tcPr>
          <w:p>
            <w:pPr>
              <w:jc w:val="center"/>
              <w:rPr>
                <w:rFonts w:ascii="宋体"/>
                <w:color w:val="auto"/>
                <w:szCs w:val="22"/>
                <w:highlight w:val="none"/>
              </w:rPr>
            </w:pPr>
          </w:p>
        </w:tc>
        <w:tc>
          <w:tcPr>
            <w:tcW w:w="7433" w:type="dxa"/>
            <w:vAlign w:val="center"/>
          </w:tcPr>
          <w:p>
            <w:pPr>
              <w:rPr>
                <w:rFonts w:hint="eastAsia" w:ascii="宋体" w:eastAsia="宋体"/>
                <w:color w:val="auto"/>
                <w:szCs w:val="22"/>
                <w:highlight w:val="none"/>
                <w:lang w:eastAsia="zh-CN"/>
              </w:rPr>
            </w:pPr>
            <w:r>
              <w:rPr>
                <w:rFonts w:hint="eastAsia" w:ascii="宋体"/>
                <w:color w:val="auto"/>
                <w:szCs w:val="22"/>
                <w:highlight w:val="none"/>
                <w:lang w:eastAsia="zh-CN"/>
              </w:rPr>
              <w:t>各临床专科“出院患者”满意度测评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18" w:type="dxa"/>
            <w:vMerge w:val="continue"/>
            <w:vAlign w:val="center"/>
          </w:tcPr>
          <w:p>
            <w:pPr>
              <w:jc w:val="center"/>
              <w:rPr>
                <w:rFonts w:ascii="宋体"/>
                <w:color w:val="auto"/>
                <w:szCs w:val="22"/>
                <w:highlight w:val="none"/>
              </w:rPr>
            </w:pPr>
          </w:p>
        </w:tc>
        <w:tc>
          <w:tcPr>
            <w:tcW w:w="868" w:type="dxa"/>
            <w:vMerge w:val="continue"/>
            <w:vAlign w:val="center"/>
          </w:tcPr>
          <w:p>
            <w:pPr>
              <w:jc w:val="center"/>
              <w:rPr>
                <w:rFonts w:ascii="宋体"/>
                <w:color w:val="auto"/>
                <w:szCs w:val="22"/>
                <w:highlight w:val="none"/>
              </w:rPr>
            </w:pPr>
          </w:p>
        </w:tc>
        <w:tc>
          <w:tcPr>
            <w:tcW w:w="7433" w:type="dxa"/>
            <w:vAlign w:val="center"/>
          </w:tcPr>
          <w:p>
            <w:pPr>
              <w:rPr>
                <w:rFonts w:hint="eastAsia" w:ascii="宋体" w:eastAsia="宋体"/>
                <w:color w:val="auto"/>
                <w:szCs w:val="22"/>
                <w:highlight w:val="none"/>
                <w:lang w:eastAsia="zh-CN"/>
              </w:rPr>
            </w:pPr>
            <w:r>
              <w:rPr>
                <w:rFonts w:hint="eastAsia" w:ascii="宋体"/>
                <w:color w:val="auto"/>
                <w:szCs w:val="22"/>
                <w:highlight w:val="none"/>
                <w:lang w:eastAsia="zh-CN"/>
              </w:rPr>
              <w:t>各临床医技科室“门诊患者”满意度测评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18" w:type="dxa"/>
            <w:vMerge w:val="continue"/>
            <w:vAlign w:val="center"/>
          </w:tcPr>
          <w:p>
            <w:pPr>
              <w:jc w:val="center"/>
              <w:rPr>
                <w:rFonts w:ascii="宋体"/>
                <w:color w:val="auto"/>
                <w:szCs w:val="22"/>
                <w:highlight w:val="none"/>
              </w:rPr>
            </w:pPr>
          </w:p>
        </w:tc>
        <w:tc>
          <w:tcPr>
            <w:tcW w:w="868" w:type="dxa"/>
            <w:vMerge w:val="continue"/>
            <w:vAlign w:val="center"/>
          </w:tcPr>
          <w:p>
            <w:pPr>
              <w:jc w:val="center"/>
              <w:rPr>
                <w:rFonts w:ascii="宋体"/>
                <w:color w:val="auto"/>
                <w:szCs w:val="22"/>
                <w:highlight w:val="none"/>
              </w:rPr>
            </w:pPr>
          </w:p>
        </w:tc>
        <w:tc>
          <w:tcPr>
            <w:tcW w:w="7433" w:type="dxa"/>
            <w:vAlign w:val="center"/>
          </w:tcPr>
          <w:p>
            <w:pPr>
              <w:rPr>
                <w:rFonts w:hint="eastAsia" w:ascii="宋体" w:eastAsia="宋体"/>
                <w:color w:val="auto"/>
                <w:szCs w:val="22"/>
                <w:highlight w:val="none"/>
                <w:lang w:eastAsia="zh-CN"/>
              </w:rPr>
            </w:pPr>
            <w:r>
              <w:rPr>
                <w:rFonts w:hint="eastAsia" w:ascii="宋体"/>
                <w:color w:val="auto"/>
                <w:szCs w:val="22"/>
                <w:highlight w:val="none"/>
                <w:lang w:eastAsia="zh-CN"/>
              </w:rPr>
              <w:t>“全院职工”满意度测评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8" w:type="dxa"/>
            <w:vMerge w:val="restart"/>
            <w:vAlign w:val="center"/>
          </w:tcPr>
          <w:p>
            <w:pPr>
              <w:jc w:val="center"/>
              <w:rPr>
                <w:rFonts w:ascii="宋体"/>
                <w:color w:val="auto"/>
                <w:szCs w:val="22"/>
                <w:highlight w:val="none"/>
              </w:rPr>
            </w:pPr>
            <w:r>
              <w:rPr>
                <w:rFonts w:ascii="宋体" w:hAnsi="宋体" w:cs="宋体"/>
                <w:color w:val="auto"/>
                <w:szCs w:val="22"/>
                <w:highlight w:val="none"/>
              </w:rPr>
              <w:t>2</w:t>
            </w:r>
          </w:p>
        </w:tc>
        <w:tc>
          <w:tcPr>
            <w:tcW w:w="868" w:type="dxa"/>
            <w:vMerge w:val="restart"/>
            <w:vAlign w:val="center"/>
          </w:tcPr>
          <w:p>
            <w:pPr>
              <w:jc w:val="center"/>
              <w:rPr>
                <w:rFonts w:ascii="宋体"/>
                <w:color w:val="auto"/>
                <w:szCs w:val="22"/>
                <w:highlight w:val="none"/>
              </w:rPr>
            </w:pPr>
            <w:r>
              <w:rPr>
                <w:rFonts w:hint="eastAsia" w:ascii="宋体"/>
                <w:color w:val="auto"/>
                <w:szCs w:val="22"/>
                <w:highlight w:val="none"/>
                <w:lang w:eastAsia="zh-CN"/>
              </w:rPr>
              <w:t>测评问卷及内容</w:t>
            </w:r>
          </w:p>
        </w:tc>
        <w:tc>
          <w:tcPr>
            <w:tcW w:w="7433" w:type="dxa"/>
            <w:vAlign w:val="center"/>
          </w:tcPr>
          <w:p>
            <w:pPr>
              <w:widowControl/>
              <w:tabs>
                <w:tab w:val="left" w:pos="720"/>
              </w:tabs>
              <w:jc w:val="left"/>
              <w:rPr>
                <w:rFonts w:hint="eastAsia" w:cs="宋体"/>
                <w:color w:val="000000"/>
                <w:highlight w:val="none"/>
                <w:shd w:val="clear" w:color="auto" w:fill="FFFFFF"/>
                <w:lang w:eastAsia="zh-CN"/>
              </w:rPr>
            </w:pPr>
            <w:r>
              <w:rPr>
                <w:rFonts w:hint="eastAsia" w:ascii="宋体"/>
                <w:color w:val="auto"/>
                <w:szCs w:val="22"/>
                <w:highlight w:val="none"/>
                <w:lang w:eastAsia="zh-CN"/>
              </w:rPr>
              <w:t>门诊患者满意度测评问卷应包含患者在医院接受诊疗过程中各个关键节点所涉及的服务，需包含以下内容（可扩展）：患者基本信息、</w:t>
            </w:r>
            <w:r>
              <w:rPr>
                <w:rFonts w:hint="eastAsia" w:cs="宋体"/>
                <w:color w:val="000000"/>
                <w:highlight w:val="none"/>
                <w:shd w:val="clear" w:color="auto" w:fill="FFFFFF"/>
              </w:rPr>
              <w:t>挂号</w:t>
            </w:r>
            <w:r>
              <w:rPr>
                <w:rFonts w:hint="eastAsia" w:cs="宋体"/>
                <w:color w:val="000000"/>
                <w:highlight w:val="none"/>
                <w:shd w:val="clear" w:color="auto" w:fill="FFFFFF"/>
                <w:lang w:eastAsia="zh-CN"/>
              </w:rPr>
              <w:t>环节</w:t>
            </w:r>
            <w:r>
              <w:rPr>
                <w:rFonts w:hint="eastAsia" w:cs="宋体"/>
                <w:color w:val="000000"/>
                <w:highlight w:val="none"/>
                <w:shd w:val="clear" w:color="auto" w:fill="FFFFFF"/>
              </w:rPr>
              <w:t>、</w:t>
            </w:r>
            <w:r>
              <w:rPr>
                <w:rFonts w:hint="eastAsia" w:cs="宋体"/>
                <w:color w:val="000000"/>
                <w:highlight w:val="none"/>
                <w:shd w:val="clear" w:color="auto" w:fill="FFFFFF"/>
                <w:lang w:eastAsia="zh-CN"/>
              </w:rPr>
              <w:t>导诊分诊环节、候诊环节、医护沟通环节</w:t>
            </w:r>
            <w:r>
              <w:rPr>
                <w:rFonts w:hint="eastAsia" w:cs="宋体"/>
                <w:color w:val="000000"/>
                <w:highlight w:val="none"/>
                <w:shd w:val="clear" w:color="auto" w:fill="FFFFFF"/>
              </w:rPr>
              <w:t>、</w:t>
            </w:r>
            <w:r>
              <w:rPr>
                <w:rFonts w:hint="eastAsia" w:cs="宋体"/>
                <w:color w:val="000000"/>
                <w:highlight w:val="none"/>
                <w:shd w:val="clear" w:color="auto" w:fill="FFFFFF"/>
                <w:lang w:eastAsia="zh-CN"/>
              </w:rPr>
              <w:t>缴费收费环节、检查、检验及治疗环节、取药环节、</w:t>
            </w:r>
            <w:r>
              <w:rPr>
                <w:rFonts w:hint="eastAsia" w:cs="宋体"/>
                <w:color w:val="000000"/>
                <w:highlight w:val="none"/>
                <w:shd w:val="clear" w:color="auto" w:fill="FFFFFF"/>
              </w:rPr>
              <w:t>医院环境与标识、患者隐私保护、</w:t>
            </w:r>
            <w:r>
              <w:rPr>
                <w:rFonts w:hint="eastAsia" w:cs="宋体"/>
                <w:color w:val="000000"/>
                <w:highlight w:val="none"/>
                <w:shd w:val="clear" w:color="auto" w:fill="FFFFFF"/>
                <w:lang w:eastAsia="zh-CN"/>
              </w:rPr>
              <w:t>服务态度、投诉管理环节、意见与建议</w:t>
            </w:r>
          </w:p>
          <w:p>
            <w:pPr>
              <w:widowControl/>
              <w:tabs>
                <w:tab w:val="left" w:pos="720"/>
              </w:tabs>
              <w:jc w:val="left"/>
              <w:rPr>
                <w:rFonts w:hint="eastAsia" w:cs="宋体"/>
                <w:color w:val="000000"/>
                <w:highlight w:val="none"/>
                <w:shd w:val="clear" w:color="auto" w:fill="FFFFFF"/>
                <w:lang w:eastAsia="zh-CN"/>
              </w:rPr>
            </w:pPr>
            <w:r>
              <w:rPr>
                <w:rFonts w:hint="eastAsia" w:ascii="宋体" w:cs="宋体"/>
                <w:b/>
                <w:bCs/>
                <w:color w:val="auto"/>
                <w:szCs w:val="22"/>
                <w:highlight w:val="none"/>
              </w:rPr>
              <w:t>▲</w:t>
            </w:r>
            <w:r>
              <w:rPr>
                <w:rFonts w:hint="eastAsia" w:cs="宋体"/>
                <w:color w:val="000000"/>
                <w:highlight w:val="none"/>
                <w:shd w:val="clear" w:color="auto" w:fill="FFFFFF"/>
                <w:lang w:eastAsia="zh-CN"/>
              </w:rPr>
              <w:t>备注：检查、检验及治疗环节涉及医院医技科室，如</w:t>
            </w:r>
            <w:r>
              <w:rPr>
                <w:rFonts w:hint="eastAsia" w:cs="宋体"/>
                <w:color w:val="000000"/>
                <w:highlight w:val="none"/>
                <w:shd w:val="clear" w:color="auto" w:fill="FFFFFF"/>
                <w:lang w:val="en-US" w:eastAsia="zh-CN"/>
              </w:rPr>
              <w:t>CT、MR、内窥镜、超声等，满意度问卷需要将其内容纳入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718" w:type="dxa"/>
            <w:vMerge w:val="continue"/>
            <w:vAlign w:val="center"/>
          </w:tcPr>
          <w:p>
            <w:pPr>
              <w:jc w:val="center"/>
              <w:rPr>
                <w:rFonts w:ascii="宋体"/>
                <w:color w:val="auto"/>
                <w:szCs w:val="22"/>
                <w:highlight w:val="none"/>
              </w:rPr>
            </w:pPr>
          </w:p>
        </w:tc>
        <w:tc>
          <w:tcPr>
            <w:tcW w:w="868" w:type="dxa"/>
            <w:vMerge w:val="continue"/>
            <w:vAlign w:val="center"/>
          </w:tcPr>
          <w:p>
            <w:pPr>
              <w:jc w:val="center"/>
              <w:rPr>
                <w:rFonts w:ascii="宋体"/>
                <w:color w:val="auto"/>
                <w:szCs w:val="22"/>
                <w:highlight w:val="none"/>
              </w:rPr>
            </w:pPr>
          </w:p>
        </w:tc>
        <w:tc>
          <w:tcPr>
            <w:tcW w:w="7433" w:type="dxa"/>
            <w:vAlign w:val="center"/>
          </w:tcPr>
          <w:p>
            <w:pPr>
              <w:rPr>
                <w:rFonts w:hint="eastAsia" w:ascii="宋体"/>
                <w:color w:val="auto"/>
                <w:szCs w:val="22"/>
                <w:highlight w:val="none"/>
                <w:lang w:eastAsia="zh-CN"/>
              </w:rPr>
            </w:pPr>
            <w:r>
              <w:rPr>
                <w:rFonts w:hint="eastAsia" w:cs="宋体"/>
                <w:color w:val="000000"/>
                <w:highlight w:val="none"/>
                <w:shd w:val="clear" w:color="auto" w:fill="FFFFFF"/>
                <w:lang w:val="en-US" w:eastAsia="zh-CN"/>
              </w:rPr>
              <w:t>住院患者</w:t>
            </w:r>
            <w:r>
              <w:rPr>
                <w:rFonts w:hint="eastAsia" w:ascii="宋体"/>
                <w:color w:val="auto"/>
                <w:szCs w:val="22"/>
                <w:highlight w:val="none"/>
                <w:lang w:eastAsia="zh-CN"/>
              </w:rPr>
              <w:t>满意度测评问卷应包含患者在医院接受诊疗过程中各个关键节点所涉及的服务，需包含以下内容（可扩展）：患者基本信息、入出院环节、病房接诊环节、医护沟通、诊疗环节、服务态度、患者知情、医德医风、费用管理、患者安全、就医环境设施、疼痛管理、手术麻醉环节、投诉管理、医疗质量与效率、隐私保护、意见与建议</w:t>
            </w:r>
          </w:p>
          <w:p>
            <w:pPr>
              <w:rPr>
                <w:rFonts w:hint="eastAsia" w:ascii="宋体"/>
                <w:color w:val="auto"/>
                <w:szCs w:val="22"/>
                <w:highlight w:val="none"/>
                <w:lang w:eastAsia="zh-CN"/>
              </w:rPr>
            </w:pPr>
            <w:r>
              <w:rPr>
                <w:rFonts w:hint="eastAsia" w:ascii="宋体" w:cs="宋体"/>
                <w:b/>
                <w:bCs/>
                <w:color w:val="auto"/>
                <w:szCs w:val="22"/>
                <w:highlight w:val="none"/>
              </w:rPr>
              <w:t>▲</w:t>
            </w:r>
            <w:r>
              <w:rPr>
                <w:rFonts w:hint="eastAsia" w:cs="宋体"/>
                <w:color w:val="000000"/>
                <w:highlight w:val="none"/>
                <w:shd w:val="clear" w:color="auto" w:fill="FFFFFF"/>
                <w:lang w:eastAsia="zh-CN"/>
              </w:rPr>
              <w:t>备注：诊疗环节涉及医院医技科室部分，如</w:t>
            </w:r>
            <w:r>
              <w:rPr>
                <w:rFonts w:hint="eastAsia" w:cs="宋体"/>
                <w:color w:val="000000"/>
                <w:highlight w:val="none"/>
                <w:shd w:val="clear" w:color="auto" w:fill="FFFFFF"/>
                <w:lang w:val="en-US" w:eastAsia="zh-CN"/>
              </w:rPr>
              <w:t>CT、MR、内窥镜、超声等，满意度问卷需要将其内容纳入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18" w:type="dxa"/>
            <w:vMerge w:val="continue"/>
            <w:vAlign w:val="center"/>
          </w:tcPr>
          <w:p>
            <w:pPr>
              <w:jc w:val="center"/>
              <w:rPr>
                <w:rFonts w:ascii="宋体"/>
                <w:color w:val="auto"/>
                <w:szCs w:val="22"/>
                <w:highlight w:val="none"/>
              </w:rPr>
            </w:pPr>
          </w:p>
        </w:tc>
        <w:tc>
          <w:tcPr>
            <w:tcW w:w="868" w:type="dxa"/>
            <w:vMerge w:val="continue"/>
            <w:vAlign w:val="center"/>
          </w:tcPr>
          <w:p>
            <w:pPr>
              <w:jc w:val="center"/>
              <w:rPr>
                <w:rFonts w:ascii="宋体"/>
                <w:color w:val="auto"/>
                <w:szCs w:val="22"/>
                <w:highlight w:val="none"/>
              </w:rPr>
            </w:pPr>
          </w:p>
        </w:tc>
        <w:tc>
          <w:tcPr>
            <w:tcW w:w="7433" w:type="dxa"/>
            <w:vAlign w:val="center"/>
          </w:tcPr>
          <w:p>
            <w:pPr>
              <w:rPr>
                <w:rFonts w:hint="eastAsia" w:ascii="宋体" w:eastAsia="宋体"/>
                <w:color w:val="auto"/>
                <w:szCs w:val="22"/>
                <w:highlight w:val="none"/>
                <w:lang w:eastAsia="zh-CN"/>
              </w:rPr>
            </w:pPr>
            <w:r>
              <w:rPr>
                <w:rFonts w:hint="eastAsia" w:ascii="宋体"/>
                <w:color w:val="auto"/>
                <w:szCs w:val="22"/>
                <w:highlight w:val="none"/>
                <w:lang w:eastAsia="zh-CN"/>
              </w:rPr>
              <w:t>医院职工满意度测评问卷应包括（可扩展）：基本信息、工作环境、工作强度、薪酬待遇、培训机会、晋升机会、发展前景、后勤服务、机构管理、职业认同、意见与建议、临床医技科室对职能科室满意度、外科科室对手术室满意度、临床科室对医技医辅科室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8" w:type="dxa"/>
            <w:vMerge w:val="continue"/>
            <w:vAlign w:val="center"/>
          </w:tcPr>
          <w:p>
            <w:pPr>
              <w:jc w:val="center"/>
              <w:rPr>
                <w:rFonts w:ascii="宋体"/>
                <w:color w:val="auto"/>
                <w:szCs w:val="22"/>
                <w:highlight w:val="none"/>
              </w:rPr>
            </w:pPr>
          </w:p>
        </w:tc>
        <w:tc>
          <w:tcPr>
            <w:tcW w:w="868" w:type="dxa"/>
            <w:vMerge w:val="continue"/>
            <w:vAlign w:val="center"/>
          </w:tcPr>
          <w:p>
            <w:pPr>
              <w:jc w:val="center"/>
              <w:rPr>
                <w:rFonts w:ascii="宋体"/>
                <w:color w:val="auto"/>
                <w:szCs w:val="22"/>
                <w:highlight w:val="none"/>
              </w:rPr>
            </w:pPr>
          </w:p>
        </w:tc>
        <w:tc>
          <w:tcPr>
            <w:tcW w:w="7433" w:type="dxa"/>
            <w:vAlign w:val="center"/>
          </w:tcPr>
          <w:p>
            <w:pPr>
              <w:rPr>
                <w:rFonts w:hint="eastAsia" w:ascii="宋体"/>
                <w:color w:val="auto"/>
                <w:szCs w:val="22"/>
                <w:highlight w:val="none"/>
                <w:lang w:eastAsia="zh-CN"/>
              </w:rPr>
            </w:pPr>
            <w:r>
              <w:rPr>
                <w:rFonts w:hint="eastAsia" w:ascii="宋体" w:cs="宋体"/>
                <w:b/>
                <w:bCs/>
                <w:color w:val="auto"/>
                <w:szCs w:val="22"/>
                <w:highlight w:val="none"/>
              </w:rPr>
              <w:t>▲</w:t>
            </w:r>
            <w:r>
              <w:rPr>
                <w:rFonts w:hint="eastAsia" w:ascii="宋体" w:hAnsi="宋体" w:cs="宋体"/>
                <w:color w:val="000000"/>
                <w:szCs w:val="21"/>
                <w:highlight w:val="none"/>
                <w:lang w:eastAsia="zh-CN"/>
              </w:rPr>
              <w:t>要求</w:t>
            </w:r>
            <w:r>
              <w:rPr>
                <w:rFonts w:hint="eastAsia" w:ascii="宋体" w:hAnsi="宋体" w:cs="宋体"/>
                <w:color w:val="000000"/>
                <w:szCs w:val="21"/>
                <w:highlight w:val="none"/>
              </w:rPr>
              <w:t>调查问卷设计科学合理，须经过统计学信度验证，并</w:t>
            </w:r>
            <w:r>
              <w:rPr>
                <w:rFonts w:hint="eastAsia" w:ascii="宋体" w:hAnsi="宋体" w:cs="宋体"/>
                <w:bCs/>
                <w:szCs w:val="21"/>
                <w:highlight w:val="none"/>
              </w:rPr>
              <w:t>符合和对应国家对于医院建设管理的标准要求，测评指标涵盖医院管理各主要流程和质控要点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8" w:type="dxa"/>
            <w:vMerge w:val="restart"/>
            <w:vAlign w:val="center"/>
          </w:tcPr>
          <w:p>
            <w:pPr>
              <w:jc w:val="center"/>
              <w:rPr>
                <w:rFonts w:ascii="宋体"/>
                <w:color w:val="auto"/>
                <w:szCs w:val="22"/>
                <w:highlight w:val="none"/>
              </w:rPr>
            </w:pPr>
            <w:r>
              <w:rPr>
                <w:rFonts w:ascii="宋体" w:hAnsi="宋体" w:cs="宋体"/>
                <w:color w:val="auto"/>
                <w:szCs w:val="22"/>
                <w:highlight w:val="none"/>
              </w:rPr>
              <w:t>3</w:t>
            </w:r>
          </w:p>
        </w:tc>
        <w:tc>
          <w:tcPr>
            <w:tcW w:w="868" w:type="dxa"/>
            <w:vMerge w:val="restart"/>
            <w:vAlign w:val="center"/>
          </w:tcPr>
          <w:p>
            <w:pPr>
              <w:jc w:val="center"/>
              <w:rPr>
                <w:rFonts w:hint="eastAsia" w:ascii="宋体" w:eastAsia="宋体"/>
                <w:color w:val="auto"/>
                <w:szCs w:val="22"/>
                <w:highlight w:val="none"/>
                <w:lang w:eastAsia="zh-CN"/>
              </w:rPr>
            </w:pPr>
            <w:r>
              <w:rPr>
                <w:rFonts w:hint="eastAsia" w:ascii="宋体" w:hAnsi="宋体" w:cs="宋体"/>
                <w:color w:val="auto"/>
                <w:szCs w:val="22"/>
                <w:highlight w:val="none"/>
                <w:lang w:eastAsia="zh-CN"/>
              </w:rPr>
              <w:t>测评样本量</w:t>
            </w:r>
          </w:p>
        </w:tc>
        <w:tc>
          <w:tcPr>
            <w:tcW w:w="7433" w:type="dxa"/>
            <w:vAlign w:val="center"/>
          </w:tcPr>
          <w:p>
            <w:pPr>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住院</w:t>
            </w:r>
            <w:r>
              <w:rPr>
                <w:rFonts w:hint="eastAsia" w:ascii="宋体" w:hAnsi="宋体" w:cs="宋体"/>
                <w:color w:val="auto"/>
                <w:szCs w:val="22"/>
                <w:highlight w:val="none"/>
                <w:lang w:val="en-US" w:eastAsia="zh-CN"/>
              </w:rPr>
              <w:t>/出院</w:t>
            </w:r>
            <w:r>
              <w:rPr>
                <w:rFonts w:hint="eastAsia" w:ascii="宋体" w:hAnsi="宋体" w:cs="宋体"/>
                <w:color w:val="auto"/>
                <w:szCs w:val="22"/>
                <w:highlight w:val="none"/>
                <w:lang w:eastAsia="zh-CN"/>
              </w:rPr>
              <w:t>患者：每期覆盖患者不少于</w:t>
            </w:r>
            <w:r>
              <w:rPr>
                <w:rFonts w:hint="eastAsia" w:ascii="宋体" w:hAnsi="宋体" w:cs="宋体"/>
                <w:color w:val="auto"/>
                <w:szCs w:val="22"/>
                <w:highlight w:val="none"/>
                <w:lang w:val="en-US" w:eastAsia="zh-CN"/>
              </w:rPr>
              <w:t>1200人，其中在院患者占比不低于60%，覆盖全院所有临床科室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8" w:type="dxa"/>
            <w:vMerge w:val="continue"/>
            <w:vAlign w:val="center"/>
          </w:tcPr>
          <w:p>
            <w:pPr>
              <w:jc w:val="center"/>
              <w:rPr>
                <w:rFonts w:ascii="宋体"/>
                <w:color w:val="auto"/>
                <w:szCs w:val="22"/>
                <w:highlight w:val="none"/>
              </w:rPr>
            </w:pPr>
          </w:p>
        </w:tc>
        <w:tc>
          <w:tcPr>
            <w:tcW w:w="868" w:type="dxa"/>
            <w:vMerge w:val="continue"/>
            <w:vAlign w:val="center"/>
          </w:tcPr>
          <w:p>
            <w:pPr>
              <w:jc w:val="center"/>
              <w:rPr>
                <w:rFonts w:ascii="宋体"/>
                <w:color w:val="auto"/>
                <w:szCs w:val="22"/>
                <w:highlight w:val="none"/>
              </w:rPr>
            </w:pPr>
          </w:p>
        </w:tc>
        <w:tc>
          <w:tcPr>
            <w:tcW w:w="7433" w:type="dxa"/>
            <w:vAlign w:val="center"/>
          </w:tcPr>
          <w:p>
            <w:pPr>
              <w:widowControl/>
              <w:tabs>
                <w:tab w:val="left" w:pos="720"/>
              </w:tabs>
              <w:jc w:val="left"/>
              <w:rPr>
                <w:rFonts w:hint="eastAsia" w:ascii="宋体" w:eastAsia="宋体"/>
                <w:color w:val="auto"/>
                <w:szCs w:val="22"/>
                <w:highlight w:val="none"/>
                <w:lang w:eastAsia="zh-CN"/>
              </w:rPr>
            </w:pPr>
            <w:r>
              <w:rPr>
                <w:rFonts w:hint="eastAsia" w:ascii="宋体"/>
                <w:color w:val="auto"/>
                <w:szCs w:val="22"/>
                <w:highlight w:val="none"/>
                <w:lang w:eastAsia="zh-CN"/>
              </w:rPr>
              <w:t>门诊患者：每期覆盖患者不少于</w:t>
            </w:r>
            <w:r>
              <w:rPr>
                <w:rFonts w:hint="eastAsia" w:ascii="宋体"/>
                <w:color w:val="auto"/>
                <w:szCs w:val="22"/>
                <w:highlight w:val="none"/>
                <w:lang w:val="en-US" w:eastAsia="zh-CN"/>
              </w:rPr>
              <w:t>1000人，覆盖全院所有门诊科室，测评时间覆盖周一至周日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18" w:type="dxa"/>
            <w:vMerge w:val="continue"/>
            <w:vAlign w:val="center"/>
          </w:tcPr>
          <w:p>
            <w:pPr>
              <w:jc w:val="center"/>
              <w:rPr>
                <w:rFonts w:ascii="宋体"/>
                <w:color w:val="auto"/>
                <w:szCs w:val="22"/>
                <w:highlight w:val="none"/>
              </w:rPr>
            </w:pPr>
          </w:p>
        </w:tc>
        <w:tc>
          <w:tcPr>
            <w:tcW w:w="868" w:type="dxa"/>
            <w:vMerge w:val="continue"/>
            <w:vAlign w:val="center"/>
          </w:tcPr>
          <w:p>
            <w:pPr>
              <w:jc w:val="center"/>
              <w:rPr>
                <w:rFonts w:ascii="宋体"/>
                <w:color w:val="auto"/>
                <w:szCs w:val="22"/>
                <w:highlight w:val="none"/>
              </w:rPr>
            </w:pPr>
          </w:p>
        </w:tc>
        <w:tc>
          <w:tcPr>
            <w:tcW w:w="7433" w:type="dxa"/>
            <w:vAlign w:val="center"/>
          </w:tcPr>
          <w:p>
            <w:pPr>
              <w:widowControl/>
              <w:tabs>
                <w:tab w:val="left" w:pos="720"/>
              </w:tabs>
              <w:jc w:val="left"/>
              <w:rPr>
                <w:rFonts w:hint="eastAsia" w:ascii="宋体" w:eastAsia="宋体"/>
                <w:color w:val="auto"/>
                <w:szCs w:val="22"/>
                <w:highlight w:val="none"/>
                <w:lang w:eastAsia="zh-CN"/>
              </w:rPr>
            </w:pPr>
            <w:r>
              <w:rPr>
                <w:rFonts w:hint="eastAsia" w:ascii="宋体"/>
                <w:color w:val="auto"/>
                <w:szCs w:val="22"/>
                <w:highlight w:val="none"/>
                <w:lang w:eastAsia="zh-CN"/>
              </w:rPr>
              <w:t>医护技人员：每期覆盖医护技人员不少于</w:t>
            </w:r>
            <w:r>
              <w:rPr>
                <w:rFonts w:hint="eastAsia" w:ascii="宋体"/>
                <w:color w:val="auto"/>
                <w:szCs w:val="22"/>
                <w:highlight w:val="none"/>
                <w:lang w:val="en-US" w:eastAsia="zh-CN"/>
              </w:rPr>
              <w:t>700人，覆盖全院所有临床医技科室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18" w:type="dxa"/>
            <w:vMerge w:val="continue"/>
            <w:vAlign w:val="center"/>
          </w:tcPr>
          <w:p>
            <w:pPr>
              <w:jc w:val="center"/>
              <w:rPr>
                <w:rFonts w:ascii="宋体"/>
                <w:color w:val="auto"/>
                <w:szCs w:val="22"/>
                <w:highlight w:val="none"/>
              </w:rPr>
            </w:pPr>
          </w:p>
        </w:tc>
        <w:tc>
          <w:tcPr>
            <w:tcW w:w="868" w:type="dxa"/>
            <w:vMerge w:val="continue"/>
            <w:vAlign w:val="center"/>
          </w:tcPr>
          <w:p>
            <w:pPr>
              <w:jc w:val="center"/>
              <w:rPr>
                <w:rFonts w:ascii="宋体"/>
                <w:color w:val="auto"/>
                <w:szCs w:val="22"/>
                <w:highlight w:val="none"/>
              </w:rPr>
            </w:pPr>
          </w:p>
        </w:tc>
        <w:tc>
          <w:tcPr>
            <w:tcW w:w="7433" w:type="dxa"/>
            <w:vAlign w:val="center"/>
          </w:tcPr>
          <w:p>
            <w:pPr>
              <w:widowControl/>
              <w:tabs>
                <w:tab w:val="left" w:pos="720"/>
              </w:tabs>
              <w:jc w:val="left"/>
              <w:rPr>
                <w:rFonts w:hint="eastAsia" w:ascii="宋体" w:eastAsia="宋体"/>
                <w:color w:val="auto"/>
                <w:szCs w:val="22"/>
                <w:highlight w:val="none"/>
                <w:lang w:eastAsia="zh-CN"/>
              </w:rPr>
            </w:pPr>
            <w:r>
              <w:rPr>
                <w:rFonts w:hint="eastAsia" w:ascii="宋体"/>
                <w:color w:val="auto"/>
                <w:szCs w:val="22"/>
                <w:highlight w:val="none"/>
                <w:lang w:eastAsia="zh-CN"/>
              </w:rPr>
              <w:t>行政职能科室人员：每期覆盖职能科室人员不少于</w:t>
            </w:r>
            <w:r>
              <w:rPr>
                <w:rFonts w:hint="eastAsia" w:ascii="宋体"/>
                <w:color w:val="auto"/>
                <w:szCs w:val="22"/>
                <w:highlight w:val="none"/>
                <w:lang w:val="en-US" w:eastAsia="zh-CN"/>
              </w:rPr>
              <w:t>100人，覆盖全院所有职能科室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8" w:type="dxa"/>
            <w:vMerge w:val="continue"/>
            <w:vAlign w:val="center"/>
          </w:tcPr>
          <w:p>
            <w:pPr>
              <w:jc w:val="center"/>
              <w:rPr>
                <w:rFonts w:ascii="宋体"/>
                <w:color w:val="auto"/>
                <w:szCs w:val="22"/>
                <w:highlight w:val="none"/>
              </w:rPr>
            </w:pPr>
          </w:p>
        </w:tc>
        <w:tc>
          <w:tcPr>
            <w:tcW w:w="868" w:type="dxa"/>
            <w:vMerge w:val="continue"/>
            <w:vAlign w:val="center"/>
          </w:tcPr>
          <w:p>
            <w:pPr>
              <w:jc w:val="center"/>
              <w:rPr>
                <w:rFonts w:ascii="宋体"/>
                <w:color w:val="auto"/>
                <w:szCs w:val="22"/>
                <w:highlight w:val="none"/>
              </w:rPr>
            </w:pPr>
          </w:p>
        </w:tc>
        <w:tc>
          <w:tcPr>
            <w:tcW w:w="7433" w:type="dxa"/>
            <w:vAlign w:val="center"/>
          </w:tcPr>
          <w:p>
            <w:pPr>
              <w:widowControl/>
              <w:tabs>
                <w:tab w:val="left" w:pos="720"/>
              </w:tabs>
              <w:jc w:val="left"/>
              <w:rPr>
                <w:rFonts w:hint="eastAsia" w:ascii="宋体"/>
                <w:color w:val="auto"/>
                <w:szCs w:val="22"/>
                <w:highlight w:val="none"/>
                <w:lang w:eastAsia="zh-CN"/>
              </w:rPr>
            </w:pPr>
            <w:r>
              <w:rPr>
                <w:rFonts w:hint="eastAsia" w:ascii="宋体" w:cs="宋体"/>
                <w:b/>
                <w:bCs/>
                <w:color w:val="auto"/>
                <w:szCs w:val="22"/>
                <w:highlight w:val="none"/>
              </w:rPr>
              <w:t>▲</w:t>
            </w:r>
            <w:r>
              <w:rPr>
                <w:rFonts w:hint="eastAsia" w:ascii="宋体" w:hAnsi="宋体" w:cs="宋体"/>
                <w:szCs w:val="21"/>
                <w:highlight w:val="none"/>
                <w:lang w:eastAsia="zh-CN"/>
              </w:rPr>
              <w:t>具备</w:t>
            </w:r>
            <w:r>
              <w:rPr>
                <w:rFonts w:hint="eastAsia" w:ascii="宋体" w:hAnsi="宋体" w:cs="宋体"/>
                <w:szCs w:val="21"/>
                <w:highlight w:val="none"/>
              </w:rPr>
              <w:t>科学的抽样体系，能根据医院规模、科室数量、就诊人次等具体信息测算出样本量，保证</w:t>
            </w:r>
            <w:r>
              <w:rPr>
                <w:rFonts w:hint="eastAsia" w:ascii="宋体" w:hAnsi="宋体" w:cs="宋体"/>
                <w:szCs w:val="21"/>
                <w:highlight w:val="none"/>
                <w:lang w:eastAsia="zh-CN"/>
              </w:rPr>
              <w:t>样本的</w:t>
            </w:r>
            <w:r>
              <w:rPr>
                <w:rFonts w:hint="eastAsia" w:ascii="宋体" w:hAnsi="宋体" w:cs="宋体"/>
                <w:szCs w:val="21"/>
                <w:highlight w:val="none"/>
              </w:rPr>
              <w:t>代表性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18" w:type="dxa"/>
            <w:vAlign w:val="center"/>
          </w:tcPr>
          <w:p>
            <w:pPr>
              <w:jc w:val="center"/>
              <w:rPr>
                <w:rFonts w:ascii="宋体"/>
                <w:color w:val="auto"/>
                <w:szCs w:val="22"/>
                <w:highlight w:val="none"/>
              </w:rPr>
            </w:pPr>
            <w:r>
              <w:rPr>
                <w:rFonts w:ascii="宋体" w:hAnsi="宋体" w:cs="宋体"/>
                <w:color w:val="auto"/>
                <w:szCs w:val="22"/>
                <w:highlight w:val="none"/>
              </w:rPr>
              <w:t>4</w:t>
            </w:r>
          </w:p>
        </w:tc>
        <w:tc>
          <w:tcPr>
            <w:tcW w:w="868" w:type="dxa"/>
            <w:vAlign w:val="center"/>
          </w:tcPr>
          <w:p>
            <w:pPr>
              <w:jc w:val="center"/>
              <w:rPr>
                <w:rFonts w:hint="eastAsia" w:ascii="宋体" w:eastAsia="宋体"/>
                <w:color w:val="auto"/>
                <w:szCs w:val="22"/>
                <w:highlight w:val="none"/>
                <w:lang w:eastAsia="zh-CN"/>
              </w:rPr>
            </w:pPr>
            <w:r>
              <w:rPr>
                <w:rFonts w:hint="eastAsia" w:ascii="宋体" w:hAnsi="宋体" w:cs="宋体"/>
                <w:color w:val="auto"/>
                <w:szCs w:val="22"/>
                <w:highlight w:val="none"/>
                <w:lang w:eastAsia="zh-CN"/>
              </w:rPr>
              <w:t>测评方式</w:t>
            </w:r>
          </w:p>
        </w:tc>
        <w:tc>
          <w:tcPr>
            <w:tcW w:w="7433" w:type="dxa"/>
            <w:vAlign w:val="center"/>
          </w:tcPr>
          <w:p>
            <w:pPr>
              <w:tabs>
                <w:tab w:val="left" w:pos="284"/>
                <w:tab w:val="left" w:pos="720"/>
              </w:tabs>
              <w:rPr>
                <w:rFonts w:hint="eastAsia" w:ascii="宋体"/>
                <w:color w:val="auto"/>
                <w:szCs w:val="22"/>
                <w:highlight w:val="none"/>
                <w:lang w:eastAsia="zh-CN"/>
              </w:rPr>
            </w:pPr>
            <w:r>
              <w:rPr>
                <w:rFonts w:hint="eastAsia" w:ascii="宋体"/>
                <w:color w:val="auto"/>
                <w:szCs w:val="22"/>
                <w:highlight w:val="none"/>
                <w:lang w:eastAsia="zh-CN"/>
              </w:rPr>
              <w:t>现场调研、电话调研、电子问卷</w:t>
            </w:r>
          </w:p>
          <w:p>
            <w:pPr>
              <w:tabs>
                <w:tab w:val="left" w:pos="284"/>
                <w:tab w:val="left" w:pos="720"/>
              </w:tabs>
              <w:rPr>
                <w:rFonts w:hint="eastAsia" w:ascii="宋体" w:eastAsia="宋体"/>
                <w:color w:val="auto"/>
                <w:szCs w:val="22"/>
                <w:highlight w:val="none"/>
                <w:lang w:eastAsia="zh-CN"/>
              </w:rPr>
            </w:pPr>
            <w:r>
              <w:rPr>
                <w:rFonts w:hint="eastAsia" w:ascii="宋体"/>
                <w:color w:val="auto"/>
                <w:szCs w:val="22"/>
                <w:highlight w:val="none"/>
                <w:lang w:eastAsia="zh-CN"/>
              </w:rPr>
              <w:t>对于样本内门诊患者现场测评比例不低于</w:t>
            </w:r>
            <w:r>
              <w:rPr>
                <w:rFonts w:hint="eastAsia" w:ascii="宋体"/>
                <w:color w:val="auto"/>
                <w:szCs w:val="22"/>
                <w:highlight w:val="none"/>
                <w:lang w:val="en-US" w:eastAsia="zh-CN"/>
              </w:rPr>
              <w:t>50%，对于样本内</w:t>
            </w:r>
            <w:r>
              <w:rPr>
                <w:rFonts w:hint="eastAsia" w:ascii="宋体"/>
                <w:b w:val="0"/>
                <w:bCs w:val="0"/>
                <w:color w:val="auto"/>
                <w:szCs w:val="22"/>
                <w:highlight w:val="none"/>
                <w:lang w:val="en-US" w:eastAsia="zh-CN"/>
              </w:rPr>
              <w:t>在院</w:t>
            </w:r>
            <w:r>
              <w:rPr>
                <w:rFonts w:hint="eastAsia" w:ascii="宋体"/>
                <w:color w:val="auto"/>
                <w:szCs w:val="22"/>
                <w:highlight w:val="none"/>
                <w:lang w:val="en-US" w:eastAsia="zh-CN"/>
              </w:rPr>
              <w:t>患者现场测评比例不低于85%。现场调研、电话调研均需要录音备查，保存期限为一年，上述测评方式有信息化技术支撑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8" w:type="dxa"/>
            <w:vAlign w:val="center"/>
          </w:tcPr>
          <w:p>
            <w:pPr>
              <w:jc w:val="center"/>
              <w:rPr>
                <w:rFonts w:hint="eastAsia" w:ascii="宋体"/>
                <w:color w:val="auto"/>
                <w:szCs w:val="22"/>
                <w:highlight w:val="none"/>
                <w:lang w:val="en-US" w:eastAsia="zh-CN"/>
              </w:rPr>
            </w:pPr>
            <w:r>
              <w:rPr>
                <w:rFonts w:hint="eastAsia" w:ascii="宋体"/>
                <w:color w:val="auto"/>
                <w:szCs w:val="22"/>
                <w:highlight w:val="none"/>
                <w:lang w:val="en-US" w:eastAsia="zh-CN"/>
              </w:rPr>
              <w:t>5</w:t>
            </w:r>
          </w:p>
        </w:tc>
        <w:tc>
          <w:tcPr>
            <w:tcW w:w="868" w:type="dxa"/>
            <w:vAlign w:val="center"/>
          </w:tcPr>
          <w:p>
            <w:pPr>
              <w:jc w:val="center"/>
              <w:rPr>
                <w:rFonts w:hint="eastAsia" w:ascii="宋体"/>
                <w:color w:val="auto"/>
                <w:szCs w:val="22"/>
                <w:highlight w:val="none"/>
                <w:lang w:eastAsia="zh-CN"/>
              </w:rPr>
            </w:pPr>
            <w:r>
              <w:rPr>
                <w:rFonts w:hint="eastAsia" w:ascii="宋体"/>
                <w:color w:val="auto"/>
                <w:szCs w:val="22"/>
                <w:highlight w:val="none"/>
                <w:lang w:eastAsia="zh-CN"/>
              </w:rPr>
              <w:t>数据质量</w:t>
            </w:r>
          </w:p>
        </w:tc>
        <w:tc>
          <w:tcPr>
            <w:tcW w:w="7433" w:type="dxa"/>
            <w:vAlign w:val="center"/>
          </w:tcPr>
          <w:p>
            <w:pPr>
              <w:rPr>
                <w:rFonts w:hint="eastAsia" w:ascii="宋体"/>
                <w:color w:val="auto"/>
                <w:szCs w:val="22"/>
                <w:highlight w:val="none"/>
                <w:lang w:eastAsia="zh-CN"/>
              </w:rPr>
            </w:pPr>
            <w:r>
              <w:rPr>
                <w:rFonts w:hint="eastAsia" w:ascii="宋体"/>
                <w:color w:val="auto"/>
                <w:szCs w:val="22"/>
                <w:highlight w:val="none"/>
                <w:lang w:eastAsia="zh-CN"/>
              </w:rPr>
              <w:t>需具备完备的测评数据真实性及准确性校验管理流程和组织体系，有效确保医院调查数据的信息科学客观、真实有效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18" w:type="dxa"/>
            <w:vMerge w:val="restart"/>
            <w:vAlign w:val="center"/>
          </w:tcPr>
          <w:p>
            <w:pPr>
              <w:jc w:val="center"/>
              <w:rPr>
                <w:rFonts w:hint="eastAsia" w:ascii="宋体" w:eastAsia="宋体"/>
                <w:color w:val="auto"/>
                <w:szCs w:val="22"/>
                <w:highlight w:val="none"/>
                <w:lang w:val="en-US" w:eastAsia="zh-CN"/>
              </w:rPr>
            </w:pPr>
            <w:r>
              <w:rPr>
                <w:rFonts w:hint="eastAsia" w:ascii="宋体"/>
                <w:color w:val="auto"/>
                <w:szCs w:val="22"/>
                <w:highlight w:val="none"/>
                <w:lang w:val="en-US" w:eastAsia="zh-CN"/>
              </w:rPr>
              <w:t>6</w:t>
            </w:r>
          </w:p>
        </w:tc>
        <w:tc>
          <w:tcPr>
            <w:tcW w:w="868" w:type="dxa"/>
            <w:vMerge w:val="restart"/>
            <w:vAlign w:val="center"/>
          </w:tcPr>
          <w:p>
            <w:pPr>
              <w:jc w:val="center"/>
              <w:rPr>
                <w:rFonts w:hint="eastAsia" w:ascii="宋体" w:eastAsia="宋体"/>
                <w:color w:val="auto"/>
                <w:szCs w:val="22"/>
                <w:highlight w:val="none"/>
                <w:lang w:eastAsia="zh-CN"/>
              </w:rPr>
            </w:pPr>
            <w:r>
              <w:rPr>
                <w:rFonts w:hint="eastAsia" w:ascii="宋体"/>
                <w:color w:val="auto"/>
                <w:szCs w:val="22"/>
                <w:highlight w:val="none"/>
                <w:lang w:eastAsia="zh-CN"/>
              </w:rPr>
              <w:t>测评报告</w:t>
            </w:r>
          </w:p>
        </w:tc>
        <w:tc>
          <w:tcPr>
            <w:tcW w:w="7433" w:type="dxa"/>
            <w:vAlign w:val="center"/>
          </w:tcPr>
          <w:p>
            <w:pPr>
              <w:rPr>
                <w:rFonts w:hint="eastAsia" w:ascii="宋体" w:eastAsia="宋体"/>
                <w:color w:val="auto"/>
                <w:szCs w:val="22"/>
                <w:highlight w:val="none"/>
                <w:lang w:eastAsia="zh-CN"/>
              </w:rPr>
            </w:pPr>
            <w:r>
              <w:rPr>
                <w:rFonts w:hint="eastAsia" w:ascii="宋体"/>
                <w:color w:val="auto"/>
                <w:szCs w:val="22"/>
                <w:highlight w:val="none"/>
                <w:lang w:eastAsia="zh-CN"/>
              </w:rPr>
              <w:t>每个季度、半年度、年度出具一份患者满意度分析报告、一份职工满意度报告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18" w:type="dxa"/>
            <w:vMerge w:val="continue"/>
            <w:vAlign w:val="center"/>
          </w:tcPr>
          <w:p>
            <w:pPr>
              <w:jc w:val="center"/>
              <w:rPr>
                <w:rFonts w:hint="eastAsia" w:ascii="宋体"/>
                <w:color w:val="auto"/>
                <w:szCs w:val="22"/>
                <w:highlight w:val="none"/>
                <w:lang w:val="en-US" w:eastAsia="zh-CN"/>
              </w:rPr>
            </w:pPr>
          </w:p>
        </w:tc>
        <w:tc>
          <w:tcPr>
            <w:tcW w:w="868" w:type="dxa"/>
            <w:vMerge w:val="continue"/>
            <w:vAlign w:val="center"/>
          </w:tcPr>
          <w:p>
            <w:pPr>
              <w:rPr>
                <w:rFonts w:hint="eastAsia" w:ascii="宋体"/>
                <w:color w:val="auto"/>
                <w:szCs w:val="22"/>
                <w:highlight w:val="none"/>
                <w:lang w:eastAsia="zh-CN"/>
              </w:rPr>
            </w:pPr>
          </w:p>
        </w:tc>
        <w:tc>
          <w:tcPr>
            <w:tcW w:w="7433" w:type="dxa"/>
            <w:vAlign w:val="center"/>
          </w:tcPr>
          <w:p>
            <w:pPr>
              <w:rPr>
                <w:rFonts w:hint="eastAsia" w:ascii="宋体"/>
                <w:color w:val="auto"/>
                <w:szCs w:val="22"/>
                <w:highlight w:val="none"/>
                <w:lang w:eastAsia="zh-CN"/>
              </w:rPr>
            </w:pPr>
            <w:r>
              <w:rPr>
                <w:rFonts w:hint="eastAsia" w:ascii="宋体" w:cs="宋体"/>
                <w:b/>
                <w:bCs/>
                <w:color w:val="auto"/>
                <w:szCs w:val="22"/>
                <w:highlight w:val="none"/>
              </w:rPr>
              <w:t>▲</w:t>
            </w:r>
            <w:r>
              <w:rPr>
                <w:rFonts w:hint="eastAsia" w:ascii="宋体"/>
                <w:color w:val="auto"/>
                <w:szCs w:val="22"/>
                <w:highlight w:val="none"/>
                <w:lang w:eastAsia="zh-CN"/>
              </w:rPr>
              <w:t>报告均需要在每个季度结束后的</w:t>
            </w:r>
            <w:r>
              <w:rPr>
                <w:rFonts w:hint="eastAsia" w:ascii="宋体"/>
                <w:color w:val="auto"/>
                <w:szCs w:val="22"/>
                <w:highlight w:val="none"/>
                <w:lang w:val="en-US" w:eastAsia="zh-CN"/>
              </w:rPr>
              <w:t>10个工作日内出具</w:t>
            </w:r>
          </w:p>
        </w:tc>
      </w:tr>
    </w:tbl>
    <w:p>
      <w:pPr>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4114D"/>
    <w:rsid w:val="30341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2021-12-02T01:00:00Z</dcterms:created>
  <dc:creator>摇摇晃摇</dc:creator>
  <cp:lastModifiedBy>摇摇晃摇</cp:lastModifiedBy>
  <dcterms:modified xsi:type="dcterms:W3CDTF">2021-12-02T01:02:18Z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