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32"/>
                <w:szCs w:val="40"/>
                <w:u w:val="none"/>
                <w:lang w:val="en-US" w:eastAsia="zh-CN"/>
              </w:rPr>
            </w:pPr>
            <w:r>
              <w:rPr>
                <w:rFonts w:hint="eastAsia" w:ascii="黑体" w:hAnsi="黑体" w:eastAsia="黑体" w:cs="黑体"/>
                <w:b/>
                <w:bCs/>
                <w:color w:val="auto"/>
                <w:sz w:val="32"/>
                <w:szCs w:val="32"/>
                <w:lang w:val="en-US" w:eastAsia="zh-CN"/>
              </w:rPr>
              <w:t>血气分析仪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00FF"/>
                <w:sz w:val="32"/>
                <w:szCs w:val="40"/>
                <w:highlight w:val="none"/>
                <w:u w:val="none"/>
                <w:lang w:val="en-US" w:eastAsia="zh-CN"/>
              </w:rPr>
            </w:pPr>
            <w:r>
              <w:rPr>
                <w:rFonts w:hint="eastAsia" w:ascii="微软雅黑" w:hAnsi="微软雅黑" w:eastAsia="微软雅黑" w:cs="微软雅黑"/>
                <w:b/>
                <w:bCs/>
                <w:color w:val="0000FF"/>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00FF"/>
                <w:sz w:val="32"/>
                <w:szCs w:val="40"/>
                <w:highlight w:val="none"/>
                <w:u w:val="none"/>
                <w:lang w:val="en-US" w:eastAsia="zh-CN"/>
              </w:rPr>
            </w:pPr>
            <w:r>
              <w:rPr>
                <w:rFonts w:hint="default" w:ascii="微软雅黑" w:hAnsi="微软雅黑" w:eastAsia="微软雅黑" w:cs="微软雅黑"/>
                <w:b/>
                <w:bCs/>
                <w:color w:val="0000FF"/>
                <w:sz w:val="32"/>
                <w:szCs w:val="40"/>
                <w:highlight w:val="none"/>
                <w:u w:val="none"/>
                <w:lang w:val="en-US" w:eastAsia="zh-CN"/>
              </w:rPr>
              <w:t>202</w:t>
            </w:r>
            <w:r>
              <w:rPr>
                <w:rFonts w:hint="eastAsia" w:ascii="微软雅黑" w:hAnsi="微软雅黑" w:eastAsia="微软雅黑" w:cs="微软雅黑"/>
                <w:b/>
                <w:bCs/>
                <w:color w:val="0000FF"/>
                <w:sz w:val="32"/>
                <w:szCs w:val="40"/>
                <w:highlight w:val="none"/>
                <w:u w:val="none"/>
                <w:lang w:val="en-US" w:eastAsia="zh-CN"/>
              </w:rPr>
              <w:t>6年03月10</w:t>
            </w:r>
            <w:bookmarkStart w:id="29" w:name="_GoBack"/>
            <w:bookmarkEnd w:id="29"/>
            <w:r>
              <w:rPr>
                <w:rFonts w:hint="eastAsia" w:ascii="微软雅黑" w:hAnsi="微软雅黑" w:eastAsia="微软雅黑" w:cs="微软雅黑"/>
                <w:b/>
                <w:bCs/>
                <w:color w:val="0000FF"/>
                <w:sz w:val="32"/>
                <w:szCs w:val="40"/>
                <w:highlight w:val="none"/>
                <w:u w:val="none"/>
                <w:lang w:val="en-US" w:eastAsia="zh-CN"/>
              </w:rPr>
              <w:t>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项目名称：血气分析仪</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100000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主要采购内容：血气分析仪</w:t>
      </w:r>
      <w:r>
        <w:rPr>
          <w:rFonts w:hint="default" w:ascii="微软雅黑" w:hAnsi="微软雅黑" w:eastAsia="微软雅黑" w:cs="微软雅黑"/>
          <w:b w:val="0"/>
          <w:bCs w:val="0"/>
          <w:color w:val="auto"/>
          <w:lang w:val="en-US" w:eastAsia="zh-CN"/>
        </w:rPr>
        <w:t>1</w:t>
      </w:r>
      <w:r>
        <w:rPr>
          <w:rFonts w:hint="eastAsia" w:ascii="微软雅黑" w:hAnsi="微软雅黑" w:eastAsia="微软雅黑" w:cs="微软雅黑"/>
          <w:b w:val="0"/>
          <w:bCs w:val="0"/>
          <w:color w:val="auto"/>
          <w:lang w:val="en-US" w:eastAsia="zh-CN"/>
        </w:rPr>
        <w:t>台</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报名时间：2026年03月10日0时0分起至2026年03月16日23时59分止。（逾期不予接收）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开标地点：襄阳市中心医院万山分院行政办公区一楼会议室（暂定，如有更改，采购人会以电话0710-3576759通知）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地址：襄阳市中心医院万山分院行政办公区一楼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2884"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b w:val="0"/>
                <w:bCs w:val="0"/>
                <w:color w:val="auto"/>
                <w:lang w:val="en-US" w:eastAsia="zh-CN"/>
              </w:rPr>
              <w:t>血气分析仪</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100000</w:t>
            </w: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2884" w:type="dxa"/>
          </w:tcPr>
          <w:p>
            <w:pPr>
              <w:numPr>
                <w:ilvl w:val="0"/>
                <w:numId w:val="0"/>
              </w:numPr>
              <w:tabs>
                <w:tab w:val="left" w:pos="0"/>
              </w:tabs>
              <w:jc w:val="left"/>
              <w:rPr>
                <w:rFonts w:hint="eastAsia" w:ascii="微软雅黑" w:hAnsi="微软雅黑" w:eastAsia="微软雅黑" w:cs="微软雅黑"/>
                <w:b/>
                <w:bCs/>
                <w:color w:val="auto"/>
                <w:sz w:val="21"/>
                <w:szCs w:val="21"/>
                <w:vertAlign w:val="baseline"/>
                <w:lang w:val="en-US" w:eastAsia="zh-CN"/>
              </w:rPr>
            </w:pPr>
          </w:p>
        </w:tc>
        <w:tc>
          <w:tcPr>
            <w:tcW w:w="919"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Theme="minorEastAsia" w:hAnsiTheme="minorEastAsia" w:eastAsiaTheme="minorEastAsia" w:cstheme="minorEastAsia"/>
          <w:b/>
          <w:bCs/>
          <w:kern w:val="2"/>
          <w:sz w:val="32"/>
          <w:szCs w:val="32"/>
          <w:lang w:val="en-US" w:eastAsia="zh-CN" w:bidi="ar"/>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pStyle w:val="13"/>
        <w:rPr>
          <w:rFonts w:hint="eastAsia"/>
          <w:lang w:eastAsia="zh-CN"/>
        </w:rPr>
      </w:pPr>
      <w:r>
        <w:rPr>
          <w:rFonts w:hint="eastAsia"/>
          <w:lang w:eastAsia="zh-CN"/>
        </w:rPr>
        <w:t>血气生化分析仪参数</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Chars="0"/>
        <w:jc w:val="left"/>
        <w:textAlignment w:val="auto"/>
        <w:rPr>
          <w:rFonts w:hint="eastAsia"/>
          <w:lang w:eastAsia="zh-CN"/>
        </w:rPr>
      </w:pPr>
      <w:r>
        <w:rPr>
          <w:rFonts w:hint="eastAsia"/>
          <w:lang w:eastAsia="zh-CN"/>
        </w:rPr>
        <w:t>*方法学：干式电化学法、交流阻抗</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lang w:eastAsia="zh-CN"/>
        </w:rPr>
      </w:pPr>
      <w:r>
        <w:rPr>
          <w:lang w:eastAsia="zh-CN"/>
        </w:rPr>
        <w:t>*</w:t>
      </w:r>
      <w:r>
        <w:rPr>
          <w:rFonts w:hint="eastAsia"/>
          <w:lang w:eastAsia="zh-CN"/>
        </w:rPr>
        <w:t>进样方式：自动进样</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rFonts w:hint="eastAsia"/>
          <w:lang w:eastAsia="zh-CN"/>
        </w:rPr>
      </w:pPr>
      <w:r>
        <w:rPr>
          <w:lang w:eastAsia="zh-CN"/>
        </w:rPr>
        <w:t>*</w:t>
      </w:r>
      <w:r>
        <w:rPr>
          <w:rFonts w:hint="eastAsia"/>
          <w:lang w:eastAsia="zh-CN"/>
        </w:rPr>
        <w:t>用血量</w:t>
      </w:r>
      <w:r>
        <w:rPr>
          <w:lang w:eastAsia="zh-CN"/>
        </w:rPr>
        <w:t>：用血量</w:t>
      </w:r>
      <w:r>
        <w:rPr>
          <w:rFonts w:hint="eastAsia"/>
          <w:lang w:eastAsia="zh-CN"/>
        </w:rPr>
        <w:t>≤</w:t>
      </w:r>
      <w:r>
        <w:rPr>
          <w:rFonts w:hint="eastAsia"/>
          <w:lang w:val="en-US" w:eastAsia="zh-CN"/>
        </w:rPr>
        <w:t>200</w:t>
      </w:r>
      <w:r>
        <w:rPr>
          <w:lang w:eastAsia="zh-CN"/>
        </w:rPr>
        <w:t>ul</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lang w:eastAsia="zh-CN"/>
        </w:rPr>
      </w:pPr>
      <w:r>
        <w:rPr>
          <w:rFonts w:hint="eastAsia"/>
          <w:lang w:eastAsia="zh-CN"/>
        </w:rPr>
        <w:t>测试参数：PH、PO2、PCO2、Na＋、K＋，CL-,Ca++, Hct，Lac，Glu，一张测试卡可同时检测最多10项实测参数</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rFonts w:hint="eastAsia"/>
          <w:lang w:eastAsia="zh-CN"/>
        </w:rPr>
      </w:pPr>
      <w:r>
        <w:rPr>
          <w:rFonts w:hint="eastAsia"/>
          <w:lang w:eastAsia="zh-CN"/>
        </w:rPr>
        <w:t>计算参数</w:t>
      </w:r>
      <w:r>
        <w:rPr>
          <w:lang w:eastAsia="zh-CN"/>
        </w:rPr>
        <w:t>:</w:t>
      </w:r>
      <w:r>
        <w:rPr>
          <w:rFonts w:hint="eastAsia"/>
          <w:lang w:eastAsia="zh-CN"/>
        </w:rPr>
        <w:t>cH+，HCO3-act，HCO3-std，BE(ecf)，BE(B)，BB(B)，ctCO2，sO2(est)，Ca++(7.4)，AnGap等, 直测和计算参数≥30项</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rFonts w:hint="eastAsia"/>
          <w:lang w:eastAsia="zh-CN"/>
        </w:rPr>
      </w:pPr>
      <w:r>
        <w:rPr>
          <w:rFonts w:hint="eastAsia"/>
          <w:lang w:eastAsia="zh-CN"/>
        </w:rPr>
        <w:t>*标本类型：可适用于动脉血、静脉血、毛细血管血等≥</w:t>
      </w:r>
      <w:r>
        <w:rPr>
          <w:lang w:eastAsia="zh-CN"/>
        </w:rPr>
        <w:t>6</w:t>
      </w:r>
      <w:r>
        <w:rPr>
          <w:rFonts w:hint="eastAsia"/>
          <w:lang w:eastAsia="zh-CN"/>
        </w:rPr>
        <w:t>种</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lang w:eastAsia="zh-CN"/>
        </w:rPr>
      </w:pPr>
      <w:r>
        <w:rPr>
          <w:rFonts w:hint="eastAsia"/>
          <w:lang w:val="en-US" w:eastAsia="zh-CN"/>
        </w:rPr>
        <w:t xml:space="preserve"> </w:t>
      </w:r>
      <w:r>
        <w:rPr>
          <w:rFonts w:hint="eastAsia"/>
          <w:lang w:eastAsia="zh-CN"/>
        </w:rPr>
        <w:t>定标方式：自动</w:t>
      </w:r>
      <w:r>
        <w:rPr>
          <w:rFonts w:hint="eastAsia"/>
          <w:lang w:val="en-US" w:eastAsia="zh-CN"/>
        </w:rPr>
        <w:t>和手动</w:t>
      </w:r>
      <w:r>
        <w:rPr>
          <w:rFonts w:hint="eastAsia"/>
          <w:lang w:eastAsia="zh-CN"/>
        </w:rPr>
        <w:t>定标，</w:t>
      </w:r>
      <w:r>
        <w:rPr>
          <w:rFonts w:hint="eastAsia"/>
          <w:lang w:val="en-US" w:eastAsia="zh-CN"/>
        </w:rPr>
        <w:t>一点和两点定标。</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rFonts w:hint="eastAsia"/>
          <w:lang w:eastAsia="zh-CN"/>
        </w:rPr>
      </w:pPr>
      <w:r>
        <w:rPr>
          <w:rFonts w:hint="eastAsia"/>
          <w:lang w:val="en-US" w:eastAsia="zh-CN"/>
        </w:rPr>
        <w:t>*</w:t>
      </w:r>
      <w:r>
        <w:rPr>
          <w:rFonts w:hint="eastAsia"/>
          <w:lang w:eastAsia="zh-CN"/>
        </w:rPr>
        <w:t>检测耗材：</w:t>
      </w:r>
      <w:r>
        <w:rPr>
          <w:lang w:eastAsia="zh-CN"/>
        </w:rPr>
        <w:t>独立包装</w:t>
      </w:r>
      <w:r>
        <w:rPr>
          <w:rFonts w:hint="eastAsia"/>
          <w:lang w:eastAsia="zh-CN"/>
        </w:rPr>
        <w:t>，</w:t>
      </w:r>
      <w:r>
        <w:rPr>
          <w:rFonts w:hint="eastAsia"/>
          <w:lang w:val="en-US" w:eastAsia="zh-CN"/>
        </w:rPr>
        <w:t>规格最小25测/包，</w:t>
      </w:r>
      <w:r>
        <w:rPr>
          <w:rFonts w:hint="eastAsia"/>
          <w:lang w:eastAsia="zh-CN"/>
        </w:rPr>
        <w:t>常温保存有效期超过</w:t>
      </w:r>
      <w:r>
        <w:rPr>
          <w:rFonts w:hint="default"/>
          <w:lang w:val="en-US" w:eastAsia="zh-CN"/>
        </w:rPr>
        <w:t>200</w:t>
      </w:r>
      <w:r>
        <w:rPr>
          <w:rFonts w:hint="eastAsia"/>
          <w:lang w:val="en-US" w:eastAsia="zh-CN"/>
        </w:rPr>
        <w:t>天，</w:t>
      </w:r>
      <w:r>
        <w:rPr>
          <w:rFonts w:hint="eastAsia"/>
          <w:lang w:eastAsia="zh-CN"/>
        </w:rPr>
        <w:t>即取即用。</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lang w:eastAsia="zh-CN"/>
        </w:rPr>
      </w:pPr>
      <w:r>
        <w:rPr>
          <w:rFonts w:hint="eastAsia"/>
          <w:lang w:val="en-US" w:eastAsia="zh-CN"/>
        </w:rPr>
        <w:t xml:space="preserve"> </w:t>
      </w:r>
      <w:r>
        <w:rPr>
          <w:rFonts w:hint="eastAsia"/>
          <w:lang w:eastAsia="zh-CN"/>
        </w:rPr>
        <w:t>质量控制：提供原厂配套三级液体质控品</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rFonts w:hint="eastAsia"/>
          <w:lang w:eastAsia="zh-CN"/>
        </w:rPr>
      </w:pPr>
      <w:r>
        <w:rPr>
          <w:rFonts w:hint="eastAsia"/>
          <w:lang w:eastAsia="zh-CN"/>
        </w:rPr>
        <w:t>运输</w:t>
      </w:r>
      <w:r>
        <w:rPr>
          <w:lang w:eastAsia="zh-CN"/>
        </w:rPr>
        <w:t>存储：</w:t>
      </w:r>
      <w:r>
        <w:rPr>
          <w:rFonts w:hint="eastAsia"/>
          <w:lang w:eastAsia="zh-CN"/>
        </w:rPr>
        <w:t>试剂盒</w:t>
      </w:r>
      <w:r>
        <w:rPr>
          <w:lang w:eastAsia="zh-CN"/>
        </w:rPr>
        <w:t>运输条件</w:t>
      </w:r>
      <w:r>
        <w:rPr>
          <w:rFonts w:hint="eastAsia"/>
          <w:lang w:eastAsia="zh-CN"/>
        </w:rPr>
        <w:t>可达-</w:t>
      </w:r>
      <w:r>
        <w:rPr>
          <w:lang w:eastAsia="zh-CN"/>
        </w:rPr>
        <w:t>10</w:t>
      </w:r>
      <w:r>
        <w:rPr>
          <w:rFonts w:hint="eastAsia"/>
          <w:lang w:eastAsia="zh-CN"/>
        </w:rPr>
        <w:t>～</w:t>
      </w:r>
      <w:r>
        <w:rPr>
          <w:lang w:eastAsia="zh-CN"/>
        </w:rPr>
        <w:t>37℃</w:t>
      </w:r>
      <w:r>
        <w:rPr>
          <w:rFonts w:hint="eastAsia"/>
          <w:lang w:eastAsia="zh-CN"/>
        </w:rPr>
        <w:t>；试剂盒</w:t>
      </w:r>
      <w:r>
        <w:rPr>
          <w:lang w:eastAsia="zh-CN"/>
        </w:rPr>
        <w:t>存储</w:t>
      </w:r>
      <w:r>
        <w:rPr>
          <w:rFonts w:hint="eastAsia"/>
          <w:lang w:eastAsia="zh-CN"/>
        </w:rPr>
        <w:t>最低</w:t>
      </w:r>
      <w:r>
        <w:rPr>
          <w:lang w:eastAsia="zh-CN"/>
        </w:rPr>
        <w:t>可到</w:t>
      </w:r>
      <w:r>
        <w:rPr>
          <w:rFonts w:hint="eastAsia"/>
          <w:lang w:eastAsia="zh-CN"/>
        </w:rPr>
        <w:t>2℃，</w:t>
      </w:r>
      <w:r>
        <w:rPr>
          <w:lang w:eastAsia="zh-CN"/>
        </w:rPr>
        <w:t>最高</w:t>
      </w:r>
      <w:r>
        <w:rPr>
          <w:rFonts w:hint="eastAsia"/>
          <w:lang w:eastAsia="zh-CN"/>
        </w:rPr>
        <w:t>可达30℃</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lang w:eastAsia="zh-CN"/>
        </w:rPr>
      </w:pPr>
      <w:r>
        <w:rPr>
          <w:rFonts w:hint="eastAsia"/>
          <w:lang w:eastAsia="zh-CN"/>
        </w:rPr>
        <w:t>操作界面：≥</w:t>
      </w:r>
      <w:r>
        <w:rPr>
          <w:lang w:eastAsia="zh-CN"/>
        </w:rPr>
        <w:t>6</w:t>
      </w:r>
      <w:r>
        <w:rPr>
          <w:rFonts w:hint="eastAsia"/>
          <w:lang w:eastAsia="zh-CN"/>
        </w:rPr>
        <w:t>英寸彩色触摸屏操作</w:t>
      </w:r>
      <w:r>
        <w:rPr>
          <w:lang w:eastAsia="zh-CN"/>
        </w:rPr>
        <w:t>,</w:t>
      </w:r>
      <w:r>
        <w:rPr>
          <w:rFonts w:hint="eastAsia"/>
          <w:lang w:eastAsia="zh-CN"/>
        </w:rPr>
        <w:t>中英文语言自由切换，内置多媒体操作教程</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rFonts w:hint="eastAsia"/>
          <w:lang w:eastAsia="zh-CN"/>
        </w:rPr>
      </w:pPr>
      <w:r>
        <w:rPr>
          <w:rFonts w:hint="eastAsia"/>
          <w:lang w:eastAsia="zh-CN"/>
        </w:rPr>
        <w:t>仪器内置热敏打印机 ，可并且可连接外置打印机，实现</w:t>
      </w:r>
      <w:r>
        <w:rPr>
          <w:rFonts w:hint="default"/>
          <w:lang w:val="en-US" w:eastAsia="zh-CN"/>
        </w:rPr>
        <w:t>A4</w:t>
      </w:r>
      <w:r>
        <w:rPr>
          <w:rFonts w:hint="eastAsia"/>
          <w:lang w:val="en-US" w:eastAsia="zh-CN"/>
        </w:rPr>
        <w:t>打印</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rFonts w:hint="eastAsia"/>
          <w:lang w:eastAsia="zh-CN"/>
        </w:rPr>
      </w:pPr>
      <w:r>
        <w:rPr>
          <w:rFonts w:hint="eastAsia"/>
          <w:lang w:eastAsia="zh-CN"/>
        </w:rPr>
        <w:t>数据接口：串口、网络接口、USB口，有线、无线网络链接，可直接连接LIS、HIS系统</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00" w:lineRule="atLeast"/>
        <w:ind w:left="0" w:leftChars="0" w:firstLine="0" w:firstLineChars="0"/>
        <w:jc w:val="left"/>
        <w:textAlignment w:val="auto"/>
        <w:rPr>
          <w:lang w:eastAsia="zh-CN"/>
        </w:rPr>
      </w:pPr>
      <w:r>
        <w:rPr>
          <w:rFonts w:hint="eastAsia"/>
          <w:lang w:eastAsia="zh-CN"/>
        </w:rPr>
        <w:t>数据管理：仪器可自动存储≥10000个病人结果，连接数据管理系统</w:t>
      </w:r>
    </w:p>
    <w:p>
      <w:pPr>
        <w:pStyle w:val="2"/>
        <w:rPr>
          <w:rFonts w:hint="eastAsia"/>
          <w:lang w:eastAsia="zh-CN"/>
        </w:rPr>
      </w:pPr>
    </w:p>
    <w:p>
      <w:pPr>
        <w:rPr>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left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三、商务要求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8"/>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5"/>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418"/>
        <w:gridCol w:w="1138"/>
        <w:gridCol w:w="887"/>
        <w:gridCol w:w="5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2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667"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520"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3321"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244" w:type="pct"/>
            <w:vMerge w:val="restart"/>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2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4510" w:type="pct"/>
            <w:gridSpan w:val="3"/>
            <w:tcBorders>
              <w:top w:val="single" w:color="auto" w:sz="4" w:space="0"/>
              <w:left w:val="single" w:color="auto" w:sz="4" w:space="0"/>
              <w:right w:val="single" w:color="auto" w:sz="4" w:space="0"/>
            </w:tcBorders>
            <w:noWrap w:val="0"/>
            <w:vAlign w:val="center"/>
          </w:tcPr>
          <w:tbl>
            <w:tblPr>
              <w:tblStyle w:val="16"/>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888"/>
              <w:gridCol w:w="5759"/>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pPr>
                    <w:jc w:val="center"/>
                    <w:rPr>
                      <w:rFonts w:hint="eastAsia" w:ascii="宋体" w:hAnsi="宋体" w:eastAsia="宋体" w:cs="仿宋"/>
                      <w:color w:val="000000"/>
                      <w:szCs w:val="21"/>
                      <w:lang w:eastAsia="zh-CN"/>
                    </w:rPr>
                  </w:pPr>
                  <w:bookmarkStart w:id="1" w:name="PO_businessTable"/>
                  <w:r>
                    <w:rPr>
                      <w:rFonts w:hint="eastAsia" w:ascii="宋体" w:hAnsi="宋体" w:cs="仿宋"/>
                      <w:color w:val="000000"/>
                      <w:szCs w:val="21"/>
                      <w:lang w:eastAsia="zh-CN"/>
                    </w:rPr>
                    <w:t>运行成本</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25</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专用耗材、易损件使用情况、医疗保险报销情况及其它优惠条件。（成本最低为基准，按等比例折算）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业绩</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投标人（代理商或制造商）提供近三年（招标截止时间前36个月，以合同签订时间为准）的相同项目业绩。每提供1个得</w:t>
                  </w:r>
                  <w:r>
                    <w:rPr>
                      <w:rFonts w:hint="eastAsia" w:ascii="宋体" w:hAnsi="宋体" w:cs="仿宋"/>
                      <w:color w:val="000000"/>
                      <w:szCs w:val="21"/>
                      <w:lang w:val="en-US" w:eastAsia="zh-CN"/>
                    </w:rPr>
                    <w:t>1</w:t>
                  </w:r>
                  <w:r>
                    <w:rPr>
                      <w:rFonts w:hint="eastAsia" w:ascii="宋体" w:hAnsi="宋体" w:cs="仿宋"/>
                      <w:color w:val="000000"/>
                      <w:szCs w:val="21"/>
                      <w:lang w:eastAsia="zh-CN"/>
                    </w:rPr>
                    <w:t>分，最高得</w:t>
                  </w:r>
                  <w:r>
                    <w:rPr>
                      <w:rFonts w:hint="eastAsia" w:ascii="宋体" w:hAnsi="宋体" w:cs="仿宋"/>
                      <w:color w:val="000000"/>
                      <w:szCs w:val="21"/>
                      <w:lang w:val="en-US" w:eastAsia="zh-CN"/>
                    </w:rPr>
                    <w:t>3</w:t>
                  </w:r>
                  <w:r>
                    <w:rPr>
                      <w:rFonts w:hint="eastAsia" w:ascii="宋体" w:hAnsi="宋体" w:cs="仿宋"/>
                      <w:color w:val="000000"/>
                      <w:szCs w:val="21"/>
                      <w:lang w:eastAsia="zh-CN"/>
                    </w:rPr>
                    <w:t>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售后</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工期</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2</w:t>
                  </w:r>
                  <w:r>
                    <w:rPr>
                      <w:rFonts w:hint="eastAsia" w:ascii="宋体" w:hAnsi="宋体" w:cs="仿宋"/>
                      <w:color w:val="000000"/>
                      <w:szCs w:val="21"/>
                      <w:lang w:eastAsia="zh-CN"/>
                    </w:rPr>
                    <w:t>分</w:t>
                  </w:r>
                </w:p>
              </w:tc>
              <w:tc>
                <w:tcPr>
                  <w:tcW w:w="5759"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150"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业务、技术培训</w:t>
                  </w:r>
                </w:p>
              </w:tc>
              <w:tc>
                <w:tcPr>
                  <w:tcW w:w="888"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2</w:t>
                  </w:r>
                  <w:r>
                    <w:rPr>
                      <w:rFonts w:hint="eastAsia" w:ascii="宋体" w:hAnsi="宋体" w:cs="仿宋"/>
                      <w:color w:val="000000"/>
                      <w:szCs w:val="21"/>
                      <w:lang w:eastAsia="zh-CN"/>
                    </w:rPr>
                    <w:t>分</w:t>
                  </w:r>
                </w:p>
              </w:tc>
              <w:tc>
                <w:tcPr>
                  <w:tcW w:w="5759" w:type="dxa"/>
                  <w:noWrap w:val="0"/>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（1）培训方案科学合理、完整、可行且有针对性的得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（2）培训方案全面，基本合理可行的得</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（3）培训方案不可行或未提供，不得分。</w:t>
                  </w:r>
                </w:p>
                <w:p>
                  <w:pPr>
                    <w:pStyle w:val="11"/>
                    <w:jc w:val="both"/>
                    <w:rPr>
                      <w:rFonts w:hint="eastAsia" w:ascii="宋体" w:hAnsi="宋体" w:eastAsia="宋体" w:cs="宋体"/>
                      <w:color w:val="000000"/>
                      <w:sz w:val="21"/>
                      <w:szCs w:val="21"/>
                      <w:lang w:eastAsia="zh-CN"/>
                    </w:rPr>
                  </w:pPr>
                </w:p>
                <w:p>
                  <w:pPr>
                    <w:pStyle w:val="11"/>
                    <w:jc w:val="both"/>
                    <w:rPr>
                      <w:rFonts w:hint="eastAsia" w:ascii="宋体" w:hAnsi="宋体" w:eastAsia="宋体" w:cs="宋体"/>
                      <w:color w:val="000000"/>
                      <w:sz w:val="21"/>
                      <w:szCs w:val="21"/>
                      <w:lang w:eastAsia="zh-CN"/>
                    </w:rPr>
                  </w:pP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44" w:type="pct"/>
            <w:vMerge w:val="continue"/>
            <w:tcBorders>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ascii="宋体" w:hAnsi="宋体" w:cs="宋体"/>
                <w:szCs w:val="21"/>
              </w:rPr>
            </w:pPr>
          </w:p>
        </w:tc>
        <w:tc>
          <w:tcPr>
            <w:tcW w:w="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4510" w:type="pct"/>
            <w:gridSpan w:val="3"/>
            <w:tcBorders>
              <w:top w:val="single" w:color="auto" w:sz="4" w:space="0"/>
              <w:left w:val="single" w:color="auto" w:sz="4" w:space="0"/>
              <w:right w:val="single" w:color="auto" w:sz="4" w:space="0"/>
            </w:tcBorders>
            <w:shd w:val="clear" w:color="auto" w:fill="FFFFFF"/>
            <w:noWrap w:val="0"/>
            <w:vAlign w:val="center"/>
          </w:tcPr>
          <w:tbl>
            <w:tblPr>
              <w:tblStyle w:val="16"/>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887"/>
              <w:gridCol w:w="5772"/>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138" w:type="dxa"/>
                  <w:noWrap w:val="0"/>
                  <w:vAlign w:val="center"/>
                </w:tcPr>
                <w:p>
                  <w:pPr>
                    <w:jc w:val="center"/>
                    <w:rPr>
                      <w:rFonts w:hint="eastAsia" w:ascii="宋体" w:hAnsi="宋体" w:eastAsia="宋体" w:cs="仿宋"/>
                      <w:color w:val="000000"/>
                      <w:szCs w:val="21"/>
                      <w:lang w:eastAsia="zh-CN"/>
                    </w:rPr>
                  </w:pPr>
                  <w:bookmarkStart w:id="2" w:name="PO_technicalTable"/>
                  <w:r>
                    <w:rPr>
                      <w:rFonts w:hint="eastAsia" w:ascii="宋体" w:hAnsi="宋体" w:cs="仿宋"/>
                      <w:color w:val="000000"/>
                      <w:szCs w:val="21"/>
                      <w:lang w:eastAsia="zh-CN"/>
                    </w:rPr>
                    <w:t>参数响应</w:t>
                  </w:r>
                </w:p>
              </w:tc>
              <w:tc>
                <w:tcPr>
                  <w:tcW w:w="887"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35</w:t>
                  </w:r>
                  <w:r>
                    <w:rPr>
                      <w:rFonts w:hint="eastAsia" w:ascii="宋体" w:hAnsi="宋体" w:cs="仿宋"/>
                      <w:color w:val="000000"/>
                      <w:szCs w:val="21"/>
                      <w:lang w:eastAsia="zh-CN"/>
                    </w:rPr>
                    <w:t>分</w:t>
                  </w:r>
                </w:p>
              </w:tc>
              <w:tc>
                <w:tcPr>
                  <w:tcW w:w="5772"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符合招标文件技术要求得</w:t>
                  </w:r>
                  <w:r>
                    <w:rPr>
                      <w:rFonts w:hint="eastAsia" w:ascii="宋体" w:hAnsi="宋体" w:cs="仿宋"/>
                      <w:color w:val="000000"/>
                      <w:szCs w:val="21"/>
                      <w:lang w:val="en-US" w:eastAsia="zh-CN"/>
                    </w:rPr>
                    <w:t>35</w:t>
                  </w:r>
                  <w:r>
                    <w:rPr>
                      <w:rFonts w:hint="eastAsia" w:ascii="宋体" w:hAnsi="宋体" w:cs="仿宋"/>
                      <w:color w:val="000000"/>
                      <w:szCs w:val="21"/>
                      <w:lang w:eastAsia="zh-CN"/>
                    </w:rPr>
                    <w:t>分；一项普通参数负偏离扣</w:t>
                  </w:r>
                  <w:r>
                    <w:rPr>
                      <w:rFonts w:hint="eastAsia" w:ascii="宋体" w:hAnsi="宋体" w:cs="仿宋"/>
                      <w:color w:val="000000"/>
                      <w:szCs w:val="21"/>
                      <w:lang w:val="en-US" w:eastAsia="zh-CN"/>
                    </w:rPr>
                    <w:t>2</w:t>
                  </w:r>
                  <w:r>
                    <w:rPr>
                      <w:rFonts w:hint="eastAsia" w:ascii="宋体" w:hAnsi="宋体" w:cs="仿宋"/>
                      <w:color w:val="000000"/>
                      <w:szCs w:val="21"/>
                      <w:lang w:eastAsia="zh-CN"/>
                    </w:rPr>
                    <w:t>分，一项星号参数负偏离扣5分。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57" w:type="pct"/>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520"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3321"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5"/>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8"/>
        <w:rPr>
          <w:rFonts w:ascii="仿宋" w:hAnsi="仿宋" w:eastAsia="仿宋" w:cs="微软雅黑"/>
          <w:sz w:val="28"/>
          <w:szCs w:val="28"/>
        </w:rPr>
      </w:pPr>
    </w:p>
    <w:p>
      <w:pPr>
        <w:pStyle w:val="18"/>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8"/>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8"/>
        <w:rPr>
          <w:rFonts w:ascii="仿宋" w:hAnsi="仿宋" w:eastAsia="仿宋" w:cs="微软雅黑"/>
          <w:b/>
          <w:sz w:val="30"/>
          <w:szCs w:val="30"/>
        </w:rPr>
      </w:pPr>
      <w:r>
        <w:rPr>
          <w:rFonts w:hint="eastAsia" w:ascii="仿宋" w:hAnsi="仿宋" w:eastAsia="仿宋" w:cs="微软雅黑"/>
          <w:b/>
          <w:sz w:val="30"/>
          <w:szCs w:val="30"/>
        </w:rPr>
        <w:t>项目名称：</w:t>
      </w:r>
    </w:p>
    <w:p>
      <w:pPr>
        <w:pStyle w:val="18"/>
        <w:rPr>
          <w:rFonts w:ascii="仿宋" w:hAnsi="仿宋" w:eastAsia="仿宋" w:cs="微软雅黑"/>
          <w:b/>
          <w:sz w:val="30"/>
          <w:szCs w:val="30"/>
        </w:rPr>
      </w:pPr>
    </w:p>
    <w:p>
      <w:pPr>
        <w:pStyle w:val="18"/>
        <w:rPr>
          <w:rFonts w:ascii="仿宋" w:hAnsi="仿宋" w:eastAsia="仿宋" w:cs="微软雅黑"/>
          <w:b/>
          <w:sz w:val="30"/>
          <w:szCs w:val="30"/>
        </w:rPr>
      </w:pPr>
    </w:p>
    <w:p>
      <w:pPr>
        <w:pStyle w:val="18"/>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8"/>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6"/>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24244"/>
      <w:bookmarkStart w:id="8" w:name="_Toc345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360120184"/>
      <w:bookmarkStart w:id="12" w:name="_Toc3488"/>
      <w:bookmarkStart w:id="13" w:name="_Toc424832832"/>
      <w:bookmarkStart w:id="14" w:name="_Toc43214900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8"/>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8"/>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5"/>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7229"/>
      <w:bookmarkStart w:id="25" w:name="_Toc4730"/>
      <w:bookmarkStart w:id="26" w:name="_Toc47683903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9"/>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8"/>
      </w:pPr>
    </w:p>
    <w:p>
      <w:pPr>
        <w:pStyle w:val="18"/>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9"/>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8"/>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505005D2"/>
    <w:multiLevelType w:val="singleLevel"/>
    <w:tmpl w:val="505005D2"/>
    <w:lvl w:ilvl="0" w:tentative="0">
      <w:start w:val="1"/>
      <w:numFmt w:val="decimal"/>
      <w:suff w:val="space"/>
      <w:lvlText w:val="%1."/>
      <w:lvlJc w:val="left"/>
    </w:lvl>
  </w:abstractNum>
  <w:abstractNum w:abstractNumId="7">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6ED21A6"/>
    <w:rsid w:val="07415229"/>
    <w:rsid w:val="07EB13A4"/>
    <w:rsid w:val="084B01D7"/>
    <w:rsid w:val="0CC92570"/>
    <w:rsid w:val="0D8457A1"/>
    <w:rsid w:val="0DDF0373"/>
    <w:rsid w:val="0DF2282E"/>
    <w:rsid w:val="0E403660"/>
    <w:rsid w:val="0F3C1353"/>
    <w:rsid w:val="0F8305F0"/>
    <w:rsid w:val="101573B7"/>
    <w:rsid w:val="12BA47BD"/>
    <w:rsid w:val="13522ECA"/>
    <w:rsid w:val="13B462F0"/>
    <w:rsid w:val="17927BE3"/>
    <w:rsid w:val="17A33505"/>
    <w:rsid w:val="17B86DD4"/>
    <w:rsid w:val="181F700C"/>
    <w:rsid w:val="1D0F1E76"/>
    <w:rsid w:val="1D1030AC"/>
    <w:rsid w:val="20983921"/>
    <w:rsid w:val="20FB4DDF"/>
    <w:rsid w:val="221E19EC"/>
    <w:rsid w:val="23432D40"/>
    <w:rsid w:val="243829B1"/>
    <w:rsid w:val="256C7635"/>
    <w:rsid w:val="257C6BEF"/>
    <w:rsid w:val="26543C2E"/>
    <w:rsid w:val="274556FA"/>
    <w:rsid w:val="279B7D52"/>
    <w:rsid w:val="28A72F6D"/>
    <w:rsid w:val="2A2013BF"/>
    <w:rsid w:val="2A7C189D"/>
    <w:rsid w:val="2AFB1A46"/>
    <w:rsid w:val="2C132A27"/>
    <w:rsid w:val="2C140AD4"/>
    <w:rsid w:val="2C3D0C5D"/>
    <w:rsid w:val="2C8A0C27"/>
    <w:rsid w:val="2CA25479"/>
    <w:rsid w:val="2CD258AD"/>
    <w:rsid w:val="2D8C7F44"/>
    <w:rsid w:val="2E020414"/>
    <w:rsid w:val="2EC76001"/>
    <w:rsid w:val="3032386A"/>
    <w:rsid w:val="305A62E5"/>
    <w:rsid w:val="32D27ECF"/>
    <w:rsid w:val="32F02764"/>
    <w:rsid w:val="362E718F"/>
    <w:rsid w:val="38D92593"/>
    <w:rsid w:val="3A3A2866"/>
    <w:rsid w:val="3A4777B0"/>
    <w:rsid w:val="3C5E715D"/>
    <w:rsid w:val="3CB90A0D"/>
    <w:rsid w:val="3CC2518E"/>
    <w:rsid w:val="3DCC3519"/>
    <w:rsid w:val="3E6654CD"/>
    <w:rsid w:val="3F474557"/>
    <w:rsid w:val="40CF09A0"/>
    <w:rsid w:val="40DB69DC"/>
    <w:rsid w:val="419B6A3A"/>
    <w:rsid w:val="42520F10"/>
    <w:rsid w:val="42E1448F"/>
    <w:rsid w:val="42EE4CCF"/>
    <w:rsid w:val="440A2D67"/>
    <w:rsid w:val="469F7466"/>
    <w:rsid w:val="48500207"/>
    <w:rsid w:val="485141DF"/>
    <w:rsid w:val="4AF013C9"/>
    <w:rsid w:val="4D376A08"/>
    <w:rsid w:val="50350EE3"/>
    <w:rsid w:val="52325D6E"/>
    <w:rsid w:val="52B646DC"/>
    <w:rsid w:val="52EF42D6"/>
    <w:rsid w:val="5518696D"/>
    <w:rsid w:val="57DC1232"/>
    <w:rsid w:val="59354F1B"/>
    <w:rsid w:val="597015C7"/>
    <w:rsid w:val="5AB95F80"/>
    <w:rsid w:val="5FDE6AA1"/>
    <w:rsid w:val="60523DD7"/>
    <w:rsid w:val="614F743B"/>
    <w:rsid w:val="61C53F3E"/>
    <w:rsid w:val="623B5B62"/>
    <w:rsid w:val="62FF1C29"/>
    <w:rsid w:val="63066872"/>
    <w:rsid w:val="64FE58CD"/>
    <w:rsid w:val="652F38F2"/>
    <w:rsid w:val="66AB742B"/>
    <w:rsid w:val="68743B4D"/>
    <w:rsid w:val="68F507E8"/>
    <w:rsid w:val="6A2A45E1"/>
    <w:rsid w:val="6A420E64"/>
    <w:rsid w:val="6AE41E6A"/>
    <w:rsid w:val="6BA27BC8"/>
    <w:rsid w:val="6BA839CF"/>
    <w:rsid w:val="6BDE45F3"/>
    <w:rsid w:val="6D215754"/>
    <w:rsid w:val="6EB63F89"/>
    <w:rsid w:val="6EFC20F8"/>
    <w:rsid w:val="715B78C5"/>
    <w:rsid w:val="729149D6"/>
    <w:rsid w:val="740F67E8"/>
    <w:rsid w:val="741846DC"/>
    <w:rsid w:val="752710C6"/>
    <w:rsid w:val="75410B72"/>
    <w:rsid w:val="755D6368"/>
    <w:rsid w:val="756379B6"/>
    <w:rsid w:val="7749547D"/>
    <w:rsid w:val="78040C3C"/>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4">
    <w:name w:val="Body Text First Indent 2"/>
    <w:basedOn w:val="8"/>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20">
    <w:name w:val="List Paragraph"/>
    <w:basedOn w:val="1"/>
    <w:qFormat/>
    <w:uiPriority w:val="34"/>
    <w:pPr>
      <w:ind w:firstLine="420" w:firstLineChars="200"/>
    </w:pPr>
  </w:style>
  <w:style w:type="character" w:customStyle="1" w:styleId="21">
    <w:name w:val="font01"/>
    <w:basedOn w:val="17"/>
    <w:qFormat/>
    <w:uiPriority w:val="0"/>
    <w:rPr>
      <w:rFonts w:hint="eastAsia" w:ascii="宋体" w:hAnsi="宋体" w:eastAsia="宋体" w:cs="宋体"/>
      <w:color w:val="000000"/>
      <w:sz w:val="24"/>
      <w:szCs w:val="24"/>
      <w:u w:val="none"/>
    </w:rPr>
  </w:style>
  <w:style w:type="character" w:customStyle="1" w:styleId="22">
    <w:name w:val="font21"/>
    <w:basedOn w:val="17"/>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1</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2026-03-09T08:10:41Z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